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1512000" cy="504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JFR logo variation_blu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50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Roboto Condensed" w:hAnsi="Roboto Condensed"/>
          <w:b/>
          <w:color w:val="005B8C"/>
          <w:sz w:val="40"/>
        </w:rPr>
        <w:t>Procedimento de Resposta a Incidentes de Cibersegurança</w:t>
      </w:r>
    </w:p>
    <w:p>
      <w:r>
        <w:rPr>
          <w:color w:val="6C757D"/>
          <w:sz w:val="18"/>
        </w:rPr>
        <w:t>Guia básico + checklist para qualquer colaborador · Versão 1.0 · agosto de 2026 · Disponibilizado por HJFR — www.hjfr-info.pt · adapte livremente à sua organização</w:t>
      </w:r>
    </w:p>
    <w:p>
      <w:pPr>
        <w:pStyle w:val="Heading1"/>
      </w:pPr>
      <w:r>
        <w:t>1. Objetivo e âmbito</w:t>
      </w:r>
    </w:p>
    <w:p>
      <w:r>
        <w:t>Este procedimento define, em linguagem simples, o que qualquer colaborador deve fazer nos primeiros minutos de um incidente de cibersegurança (ou de uma suspeita). Não substitui um plano formal de resposta a incidentes, mas garante o essencial: reação rápida, danos contidos e evidências preservadas.</w:t>
      </w:r>
    </w:p>
    <w:p>
      <w:r>
        <w:t>Aplica-se a todos os colaboradores, independentemente da função ou dos conhecimentos técnicos. Os campos assinalados com ________ devem ser preenchidos pela organização antes de distribuir.</w:t>
      </w:r>
    </w:p>
    <w:p>
      <w:pPr>
        <w:pStyle w:val="Heading1"/>
      </w:pPr>
      <w:r>
        <w:t>2. O que conta como incidente?</w:t>
      </w:r>
    </w:p>
    <w:p>
      <w:r>
        <w:t>Na dúvida, trate como incidente e comunique — um falso alarme custa minutos; um incidente ignorado pode custar a empresa. Exemplos:</w:t>
      </w:r>
    </w:p>
    <w:p>
      <w:pPr>
        <w:pStyle w:val="ListBullet"/>
      </w:pPr>
      <w:r>
        <w:rPr>
          <w:b/>
        </w:rPr>
        <w:t>Phishing</w:t>
      </w:r>
      <w:r>
        <w:t xml:space="preserve"> — clicou numa ligação ou anexo suspeito, ou introduziu credenciais numa página duvidosa;</w:t>
      </w:r>
    </w:p>
    <w:p>
      <w:pPr>
        <w:pStyle w:val="ListBullet"/>
      </w:pPr>
      <w:r>
        <w:rPr>
          <w:b/>
        </w:rPr>
        <w:t>Ransomware</w:t>
      </w:r>
      <w:r>
        <w:t xml:space="preserve"> — pedido de resgate no ecrã, ficheiros cifrados ou com nomes/extensões estranhos;</w:t>
      </w:r>
    </w:p>
    <w:p>
      <w:pPr>
        <w:pStyle w:val="ListBullet"/>
      </w:pPr>
      <w:r>
        <w:rPr>
          <w:b/>
        </w:rPr>
        <w:t>Conta comprometida</w:t>
      </w:r>
      <w:r>
        <w:t xml:space="preserve"> — alertas de início de sessão que não reconhece, emails enviados que não escreveu, pedidos de autenticação (MFA) que não solicitou;</w:t>
      </w:r>
    </w:p>
    <w:p>
      <w:pPr>
        <w:pStyle w:val="ListBullet"/>
      </w:pPr>
      <w:r>
        <w:rPr>
          <w:b/>
        </w:rPr>
        <w:t>Comportamento anómalo</w:t>
      </w:r>
      <w:r>
        <w:t xml:space="preserve"> — lentidão súbita, janelas que abrem sozinhas, programas desconhecidos, cursor a mover-se sozinho;</w:t>
      </w:r>
    </w:p>
    <w:p>
      <w:pPr>
        <w:pStyle w:val="ListBullet"/>
      </w:pPr>
      <w:r>
        <w:rPr>
          <w:b/>
        </w:rPr>
        <w:t>Equipamento perdido ou roubado</w:t>
      </w:r>
      <w:r>
        <w:t xml:space="preserve"> — portátil, telemóvel ou pen USB com dados da organização;</w:t>
      </w:r>
    </w:p>
    <w:p>
      <w:pPr>
        <w:pStyle w:val="ListBullet"/>
      </w:pPr>
      <w:r>
        <w:rPr>
          <w:b/>
        </w:rPr>
        <w:t>Fraude por email ou telefone (BEC/vishing)</w:t>
      </w:r>
      <w:r>
        <w:t xml:space="preserve"> — pedidos urgentes de pagamentos ou de dados, supostamente da administração, de clientes ou de fornecedores;</w:t>
      </w:r>
    </w:p>
    <w:p>
      <w:pPr>
        <w:pStyle w:val="ListBullet"/>
      </w:pPr>
      <w:r>
        <w:rPr>
          <w:b/>
        </w:rPr>
        <w:t>Exposição acidental de dados</w:t>
      </w:r>
      <w:r>
        <w:t xml:space="preserve"> — email enviado ao destinatário errado, pasta partilhada aberta ao público.</w:t>
      </w:r>
    </w:p>
    <w:p>
      <w:pPr>
        <w:pStyle w:val="Heading1"/>
      </w:pPr>
      <w:r>
        <w:t>3. A regra de ouro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fill="003D75"/>
          </w:tcPr>
          <w:p>
            <w:pPr>
              <w:jc w:val="center"/>
            </w:pPr>
            <w:r>
              <w:rPr>
                <w:b/>
                <w:color w:val="F6B10D"/>
                <w:sz w:val="28"/>
              </w:rPr>
              <w:t>PARAR · ISOLAR · COMUNICAR · PRESERVAR</w:t>
            </w:r>
          </w:p>
          <w:p>
            <w:pPr>
              <w:jc w:val="center"/>
            </w:pPr>
            <w:r>
              <w:rPr>
                <w:color w:val="DCEAF2"/>
                <w:sz w:val="19"/>
              </w:rPr>
              <w:t>Pare de usar o equipamento; isole-o da rede (sem o desligar da corrente); comunique de imediato ao contacto interno; preserve tudo — não apague nada e não tente resolver sozinho.</w:t>
            </w:r>
          </w:p>
        </w:tc>
      </w:tr>
    </w:tbl>
    <w:p>
      <w:pPr>
        <w:pStyle w:val="Heading1"/>
      </w:pPr>
      <w:r>
        <w:t>4. Procedimento — 6 passos</w:t>
      </w:r>
    </w:p>
    <w:p>
      <w:r>
        <w:rPr>
          <w:b/>
          <w:color w:val="005B8C"/>
        </w:rPr>
        <w:t>Passo 1 — Pare.</w:t>
      </w:r>
    </w:p>
    <w:p>
      <w:r>
        <w:t>Pare de usar o equipamento. Não feche janelas nem sessões, não apague emails, ficheiros ou histórico. Não desligue o computador da corrente — a memória pode conter evidências essenciais à investigação.</w:t>
      </w:r>
    </w:p>
    <w:p>
      <w:r>
        <w:rPr>
          <w:b/>
          <w:color w:val="005B8C"/>
        </w:rPr>
        <w:t>Passo 2 — Isole.</w:t>
      </w:r>
    </w:p>
    <w:p>
      <w:r>
        <w:t>Desligue o cabo de rede e o Wi-Fi (ou ative o modo de voo). Em teletrabalho, desligue o equipamento do router. Só desligue a alimentação se a equipa técnica o indicar. Se não souber como isolar, peça ajuda de imediato — pedir é sempre melhor do que adivinhar.</w:t>
      </w:r>
    </w:p>
    <w:p>
      <w:r>
        <w:rPr>
          <w:b/>
          <w:color w:val="005B8C"/>
        </w:rPr>
        <w:t>Passo 3 — Comunique.</w:t>
      </w:r>
    </w:p>
    <w:p>
      <w:r>
        <w:t>Avise imediatamente o contacto interno definido (TI, segurança ou chefia): ________, tel. ________. Se o email puder estar comprometido, use o telefone ou fale pessoalmente. Nunca assuma que outra pessoa já reportou. Minutos fazem a diferença.</w:t>
      </w:r>
    </w:p>
    <w:p>
      <w:r>
        <w:rPr>
          <w:b/>
          <w:color w:val="005B8C"/>
        </w:rPr>
        <w:t>Passo 4 — Registe.</w:t>
      </w:r>
    </w:p>
    <w:p>
      <w:r>
        <w:t>Anote a hora, o que estava a fazer, em que clicou ou o que abriu, e as mensagens apresentadas no ecrã. Fotografe o ecrã com o telemóvel — não faça capturas de ecrã no próprio equipamento afetado.</w:t>
      </w:r>
    </w:p>
    <w:p>
      <w:r>
        <w:rPr>
          <w:b/>
          <w:color w:val="005B8C"/>
        </w:rPr>
        <w:t>Passo 5 — Não tente resolver sozinho.</w:t>
      </w:r>
    </w:p>
    <w:p>
      <w:r>
        <w:t>Não execute antivírus nem “limpezas”, não reinstale, não restaure cópias de segurança, não mude palavras-passe no equipamento afetado, não pague resgates e não responda ao atacante.</w:t>
      </w:r>
    </w:p>
    <w:p>
      <w:r>
        <w:rPr>
          <w:b/>
          <w:color w:val="005B8C"/>
        </w:rPr>
        <w:t>Passo 6 — Siga as instruções da equipa.</w:t>
      </w:r>
    </w:p>
    <w:p>
      <w:r>
        <w:t>Quando a equipa de resposta indicar, mude as palavras-passe a partir de um equipamento seguro, começando pelas contas críticas (email, acessos da organização, banca), e confirme que a autenticação multifator (MFA) está ativa.</w:t>
      </w:r>
    </w:p>
    <w:p>
      <w:pPr>
        <w:pStyle w:val="Heading1"/>
      </w:pPr>
      <w:r>
        <w:t>5. Checklist do colaborador (imprimir e afixar)</w:t>
      </w:r>
    </w:p>
    <w:p>
      <w:r>
        <w:t>☐  1. Parei de usar o equipamento — sem o desligar da corrente.</w:t>
      </w:r>
    </w:p>
    <w:p>
      <w:r>
        <w:t>☐  2. Isolei da rede: cabo desligado, Wi-Fi e dados móveis desativados.</w:t>
      </w:r>
    </w:p>
    <w:p>
      <w:r>
        <w:t>☐  3. Não apaguei nem alterei nada (emails, ficheiros, histórico).</w:t>
      </w:r>
    </w:p>
    <w:p>
      <w:r>
        <w:t>☐  4. Comuniquei ao contacto interno: ________ (tel.: ________).</w:t>
      </w:r>
    </w:p>
    <w:p>
      <w:r>
        <w:t>☐  5. Registei a hora e o que aconteceu; fotografei o ecrã com o telemóvel.</w:t>
      </w:r>
    </w:p>
    <w:p>
      <w:r>
        <w:t>☐  6. Guardei os emails e mensagens suspeitos; não os reencaminhei a ninguém.</w:t>
      </w:r>
    </w:p>
    <w:p>
      <w:r>
        <w:t>☐  7. Não tentei resolver sozinho; não paguei nada nem respondi ao atacante.</w:t>
      </w:r>
    </w:p>
    <w:p>
      <w:r>
        <w:t>☐  8. Alertei os colegas próximos, sem reencaminhar conteúdos maliciosos.</w:t>
      </w:r>
    </w:p>
    <w:p>
      <w:r>
        <w:t>☐  9. Mudei palavras-passe apenas quando indicado, num equipamento seguro, e verifiquei o MFA.</w:t>
      </w:r>
    </w:p>
    <w:p>
      <w:r>
        <w:t>☐  10. Fiquei disponível para as perguntas da equipa de resposta.</w:t>
      </w:r>
    </w:p>
    <w:p>
      <w:pPr>
        <w:pStyle w:val="Heading1"/>
      </w:pPr>
      <w:r>
        <w:t>6. Para o responsável designado (visão rápida)</w:t>
      </w:r>
    </w:p>
    <w:p>
      <w:pPr>
        <w:pStyle w:val="ListNumber"/>
      </w:pPr>
      <w:r>
        <w:rPr>
          <w:b/>
        </w:rPr>
        <w:t>Avaliar e conter</w:t>
      </w:r>
      <w:r>
        <w:t xml:space="preserve"> — identificar sistemas e dados afetados; isolar o necessário; trocar credenciais expostas a partir de equipamentos seguros.</w:t>
      </w:r>
    </w:p>
    <w:p>
      <w:pPr>
        <w:pStyle w:val="ListNumber"/>
      </w:pPr>
      <w:r>
        <w:rPr>
          <w:b/>
        </w:rPr>
        <w:t>Cumprir obrigações legais</w:t>
      </w:r>
      <w:r>
        <w:t xml:space="preserve"> — violação de dados pessoais: notificar a CNPD no prazo de 72 horas (art. 33.º do RGPD) — www.cnpd.pt · reportar ao CERT.PT / CNCS — www.cncs.gov.pt · cert@cert.pt · entidades abrangidas pela diretiva NIS2: alerta precoce ao CSIRT competente em 24 horas · suspeita de crime: queixa à Polícia Judiciária — www.policiajudiciaria.pt.</w:t>
      </w:r>
    </w:p>
    <w:p>
      <w:pPr>
        <w:pStyle w:val="ListNumber"/>
      </w:pPr>
      <w:r>
        <w:rPr>
          <w:b/>
        </w:rPr>
        <w:t>Erradicar</w:t>
      </w:r>
      <w:r>
        <w:t xml:space="preserve"> — remover a causa: malware, contas comprometidas, vulnerabilidade explorada.</w:t>
      </w:r>
    </w:p>
    <w:p>
      <w:pPr>
        <w:pStyle w:val="ListNumber"/>
      </w:pPr>
      <w:r>
        <w:rPr>
          <w:b/>
        </w:rPr>
        <w:t>Recuperar</w:t>
      </w:r>
      <w:r>
        <w:t xml:space="preserve"> — repor sistemas a partir de cópias de segurança íntegras; monitorizar reincidências.</w:t>
      </w:r>
    </w:p>
    <w:p>
      <w:pPr>
        <w:pStyle w:val="ListNumber"/>
      </w:pPr>
      <w:r>
        <w:rPr>
          <w:b/>
        </w:rPr>
        <w:t>Aprender</w:t>
      </w:r>
      <w:r>
        <w:t xml:space="preserve"> — registar o incidente, rever o que falhou e atualizar procedimentos e formação.</w:t>
      </w:r>
    </w:p>
    <w:p>
      <w:pPr>
        <w:pStyle w:val="Heading1"/>
      </w:pPr>
      <w:r>
        <w:t>7. Antes do incidente (preparação mínima)</w:t>
      </w:r>
    </w:p>
    <w:p>
      <w:pPr>
        <w:pStyle w:val="ListBullet"/>
      </w:pPr>
      <w:r>
        <w:t>Contacto interno de reporte definido, com substituto, afixado e conhecido por todos;</w:t>
      </w:r>
    </w:p>
    <w:p>
      <w:pPr>
        <w:pStyle w:val="ListBullet"/>
      </w:pPr>
      <w:r>
        <w:t>Cópias de segurança 3-2-1 (3 cópias, 2 suportes diferentes, 1 fora da rede), testadas com regularidade;</w:t>
      </w:r>
    </w:p>
    <w:p>
      <w:pPr>
        <w:pStyle w:val="ListBullet"/>
      </w:pPr>
      <w:r>
        <w:t>MFA ativo em todas as contas; palavras-passe únicas geridas num gestor de palavras-passe;</w:t>
      </w:r>
    </w:p>
    <w:p>
      <w:pPr>
        <w:pStyle w:val="ListBullet"/>
      </w:pPr>
      <w:r>
        <w:t>Atualizações de segurança aplicadas sem demora;</w:t>
      </w:r>
    </w:p>
    <w:p>
      <w:pPr>
        <w:pStyle w:val="ListBullet"/>
      </w:pPr>
      <w:r>
        <w:t>Formação e simulações regulares — um colaborador treinado é a primeira linha de defesa.</w:t>
      </w:r>
    </w:p>
    <w:p>
      <w:pPr>
        <w:pStyle w:val="Heading1"/>
      </w:pPr>
      <w:r>
        <w:t>8. Adoção deste documento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b/>
              </w:rPr>
              <w:t>Organização</w:t>
            </w:r>
          </w:p>
        </w:tc>
        <w:tc>
          <w:tcPr>
            <w:tcW w:type="dxa" w:w="4986"/>
          </w:tcPr>
          <w:p>
            <w:r>
              <w:t>________</w:t>
            </w:r>
          </w:p>
        </w:tc>
      </w:tr>
      <w:tr>
        <w:tc>
          <w:tcPr>
            <w:tcW w:type="dxa" w:w="4986"/>
          </w:tcPr>
          <w:p>
            <w:r>
              <w:rPr>
                <w:b/>
              </w:rPr>
              <w:t>Contacto interno de reporte (nome + telefone)</w:t>
            </w:r>
          </w:p>
        </w:tc>
        <w:tc>
          <w:tcPr>
            <w:tcW w:type="dxa" w:w="4986"/>
          </w:tcPr>
          <w:p>
            <w:r>
              <w:t>________</w:t>
            </w:r>
          </w:p>
        </w:tc>
      </w:tr>
      <w:tr>
        <w:tc>
          <w:tcPr>
            <w:tcW w:type="dxa" w:w="4986"/>
          </w:tcPr>
          <w:p>
            <w:r>
              <w:rPr>
                <w:b/>
              </w:rPr>
              <w:t>Substituto</w:t>
            </w:r>
          </w:p>
        </w:tc>
        <w:tc>
          <w:tcPr>
            <w:tcW w:type="dxa" w:w="4986"/>
          </w:tcPr>
          <w:p>
            <w:r>
              <w:t>________</w:t>
            </w:r>
          </w:p>
        </w:tc>
      </w:tr>
      <w:tr>
        <w:tc>
          <w:tcPr>
            <w:tcW w:type="dxa" w:w="4986"/>
          </w:tcPr>
          <w:p>
            <w:r>
              <w:rPr>
                <w:b/>
              </w:rPr>
              <w:t>Aprovado por</w:t>
            </w:r>
          </w:p>
        </w:tc>
        <w:tc>
          <w:tcPr>
            <w:tcW w:type="dxa" w:w="4986"/>
          </w:tcPr>
          <w:p>
            <w:r>
              <w:t>________</w:t>
            </w:r>
          </w:p>
        </w:tc>
      </w:tr>
      <w:tr>
        <w:tc>
          <w:tcPr>
            <w:tcW w:type="dxa" w:w="4986"/>
          </w:tcPr>
          <w:p>
            <w:r>
              <w:rPr>
                <w:b/>
              </w:rPr>
              <w:t>Data de adoção</w:t>
            </w:r>
          </w:p>
        </w:tc>
        <w:tc>
          <w:tcPr>
            <w:tcW w:type="dxa" w:w="4986"/>
          </w:tcPr>
          <w:p>
            <w:r>
              <w:t>____ / ____ / ______</w:t>
            </w:r>
          </w:p>
        </w:tc>
      </w:tr>
      <w:tr>
        <w:tc>
          <w:tcPr>
            <w:tcW w:type="dxa" w:w="4986"/>
          </w:tcPr>
          <w:p>
            <w:r>
              <w:rPr>
                <w:b/>
              </w:rPr>
              <w:t>Revisão</w:t>
            </w:r>
          </w:p>
        </w:tc>
        <w:tc>
          <w:tcPr>
            <w:tcW w:type="dxa" w:w="4986"/>
          </w:tcPr>
          <w:p>
            <w:r>
              <w:t>Anual</w:t>
            </w:r>
          </w:p>
        </w:tc>
      </w:tr>
    </w:tbl>
    <w:p/>
    <w:p>
      <w:r>
        <w:rPr>
          <w:color w:val="6C757D"/>
          <w:sz w:val="18"/>
        </w:rPr>
        <w:t>Este modelo pode ser adaptado livremente à sua organização. Original: HJFR — www.hjfr-info.pt.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Roboto" w:hAnsi="Roboto"/>
      <w:color w:val="343A4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Roboto Condensed" w:hAnsi="Roboto Condensed"/>
      <w:b/>
      <w:bCs/>
      <w:color w:val="005B8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Roboto Condensed" w:hAnsi="Roboto Condensed"/>
      <w:b/>
      <w:bCs/>
      <w:color w:val="005B8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Procedimento de Resposta a Incidentes de Cibersegurança</dc:title>
  <dc:subject/>
  <dc:creator>HJFR — www.hjfr-info.pt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  <dc:language>pt-PT</dc:language>
</cp:coreProperties>
</file>